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7" w:rsidRPr="0029729D" w:rsidRDefault="00E261DE">
      <w:pPr>
        <w:rPr>
          <w:b/>
          <w:sz w:val="32"/>
          <w:szCs w:val="32"/>
        </w:rPr>
      </w:pPr>
      <w:r>
        <w:rPr>
          <w:b/>
          <w:noProof/>
          <w:sz w:val="32"/>
          <w:szCs w:val="32"/>
          <w:lang w:eastAsia="en-GB"/>
        </w:rPr>
        <w:pict>
          <v:rect id="_x0000_s1026" style="position:absolute;margin-left:-16.75pt;margin-top:-15.35pt;width:492.3pt;height:601.1pt;z-index:-251658752"/>
        </w:pict>
      </w:r>
      <w:r w:rsidR="00C3087A" w:rsidRPr="0029729D">
        <w:rPr>
          <w:b/>
          <w:sz w:val="32"/>
          <w:szCs w:val="32"/>
        </w:rPr>
        <w:t>Great Professional Dialogue</w:t>
      </w:r>
    </w:p>
    <w:p w:rsidR="00C3087A" w:rsidRPr="0029729D" w:rsidRDefault="00C3087A">
      <w:pPr>
        <w:rPr>
          <w:b/>
          <w:sz w:val="24"/>
          <w:szCs w:val="24"/>
        </w:rPr>
      </w:pPr>
      <w:r w:rsidRPr="0029729D">
        <w:rPr>
          <w:b/>
          <w:sz w:val="24"/>
          <w:szCs w:val="24"/>
        </w:rPr>
        <w:t>What is professional dialogue?</w:t>
      </w:r>
    </w:p>
    <w:p w:rsidR="00C3087A" w:rsidRDefault="00C3087A">
      <w:r>
        <w:t>Professional Dialogue is a model of interaction that is designed to help someone explore their options and decide on an appropriate way forward in something they want to do.  The continuation of the dialogue helps that person to review the progress they are making and ensure that they are on track for a successful outcome.</w:t>
      </w:r>
    </w:p>
    <w:p w:rsidR="00C3087A" w:rsidRDefault="00C3087A">
      <w:r>
        <w:t>There are 3 elements to Professional Dialogue:</w:t>
      </w:r>
    </w:p>
    <w:p w:rsidR="00C3087A" w:rsidRDefault="00C3087A">
      <w:r w:rsidRPr="00C3087A">
        <w:rPr>
          <w:noProof/>
          <w:lang w:eastAsia="en-GB"/>
        </w:rPr>
        <w:drawing>
          <wp:inline distT="0" distB="0" distL="0" distR="0">
            <wp:extent cx="5816009" cy="1679944"/>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9729D" w:rsidRDefault="001E288B">
      <w:r>
        <w:t xml:space="preserve">The purpose of the dialogue is rooted in its value base.  The aim is for the ‘facilitator’ of the dialogue to </w:t>
      </w:r>
      <w:r w:rsidR="001C485D">
        <w:t xml:space="preserve">use active listening, powerful questioning and appropriate challenging skills as well as other techniques to </w:t>
      </w:r>
      <w:r>
        <w:t xml:space="preserve">enable and empower the other – therefore building their professional and personal capability.  </w:t>
      </w:r>
      <w:r w:rsidR="001C485D">
        <w:t xml:space="preserve">The dialogue should always finish by summarising the key points into an action plan based on its structure.  Follow-up conversations review how effectively the actions taken are helping to achieve the </w:t>
      </w:r>
      <w:r w:rsidR="00C234F2">
        <w:t>planned outcomes.</w:t>
      </w:r>
    </w:p>
    <w:p w:rsidR="00C234F2" w:rsidRDefault="00C234F2">
      <w:r>
        <w:t>Professional Dialogue can be used in a variety of situations, including:</w:t>
      </w:r>
    </w:p>
    <w:p w:rsidR="00C234F2" w:rsidRDefault="00C234F2" w:rsidP="00D52A4E">
      <w:pPr>
        <w:pStyle w:val="ListParagraph"/>
        <w:numPr>
          <w:ilvl w:val="0"/>
          <w:numId w:val="1"/>
        </w:numPr>
      </w:pPr>
      <w:r>
        <w:t xml:space="preserve">Individual, team and organisational </w:t>
      </w:r>
      <w:r w:rsidR="00D52A4E">
        <w:t xml:space="preserve">curriculum </w:t>
      </w:r>
      <w:r>
        <w:t>development planning</w:t>
      </w:r>
    </w:p>
    <w:p w:rsidR="00C234F2" w:rsidRDefault="00C234F2" w:rsidP="00D52A4E">
      <w:pPr>
        <w:pStyle w:val="ListParagraph"/>
        <w:numPr>
          <w:ilvl w:val="0"/>
          <w:numId w:val="1"/>
        </w:numPr>
      </w:pPr>
      <w:r>
        <w:t>Observation feedback</w:t>
      </w:r>
      <w:r w:rsidR="006C21CD">
        <w:t xml:space="preserve"> and action planning</w:t>
      </w:r>
    </w:p>
    <w:p w:rsidR="00C234F2" w:rsidRDefault="00C234F2" w:rsidP="00D52A4E">
      <w:pPr>
        <w:pStyle w:val="ListParagraph"/>
        <w:numPr>
          <w:ilvl w:val="0"/>
          <w:numId w:val="1"/>
        </w:numPr>
      </w:pPr>
      <w:r>
        <w:t>With learners</w:t>
      </w:r>
      <w:r w:rsidR="00D52A4E">
        <w:t xml:space="preserve"> (in tutorial, in teaching, in progress reviews</w:t>
      </w:r>
      <w:r w:rsidR="006C21CD">
        <w:t>/ILPs</w:t>
      </w:r>
      <w:r w:rsidR="00D52A4E">
        <w:t>)</w:t>
      </w:r>
    </w:p>
    <w:p w:rsidR="00C234F2" w:rsidRDefault="00C234F2" w:rsidP="00D52A4E">
      <w:pPr>
        <w:pStyle w:val="ListParagraph"/>
        <w:numPr>
          <w:ilvl w:val="0"/>
          <w:numId w:val="1"/>
        </w:numPr>
      </w:pPr>
      <w:r>
        <w:t>In appraisals</w:t>
      </w:r>
      <w:r w:rsidR="006C21CD">
        <w:t>; in meetings</w:t>
      </w:r>
    </w:p>
    <w:p w:rsidR="00C234F2" w:rsidRDefault="006C21CD" w:rsidP="00D52A4E">
      <w:pPr>
        <w:pStyle w:val="ListParagraph"/>
        <w:numPr>
          <w:ilvl w:val="0"/>
          <w:numId w:val="1"/>
        </w:numPr>
      </w:pPr>
      <w:r>
        <w:t>Reflection on CPD</w:t>
      </w:r>
    </w:p>
    <w:p w:rsidR="00D52A4E" w:rsidRDefault="00D52A4E" w:rsidP="00D52A4E">
      <w:r>
        <w:t>Professional Dialogue can become a whole organisational way of working.  At organisational level, the use of the structure and approach to prepare and monitor team and organisational development/improvement plans</w:t>
      </w:r>
      <w:r w:rsidRPr="00C234F2">
        <w:t xml:space="preserve"> </w:t>
      </w:r>
      <w:r>
        <w:t>has proved to be a powerful and effective approach to whole organisational improvement that can be mapped back to the Common Inspection Framework.</w:t>
      </w:r>
    </w:p>
    <w:p w:rsidR="0029729D" w:rsidRDefault="00D52A4E" w:rsidP="00D52A4E">
      <w:pPr>
        <w:spacing w:after="0" w:line="240" w:lineRule="auto"/>
      </w:pPr>
      <w:r>
        <w:t>Carolyn Watkinson</w:t>
      </w:r>
    </w:p>
    <w:p w:rsidR="00D52A4E" w:rsidRDefault="00D52A4E" w:rsidP="00D52A4E">
      <w:pPr>
        <w:spacing w:after="0" w:line="240" w:lineRule="auto"/>
      </w:pPr>
      <w:r w:rsidRPr="00D52A4E">
        <w:rPr>
          <w:b/>
          <w:color w:val="632423" w:themeColor="accent2" w:themeShade="80"/>
        </w:rPr>
        <w:t>Red</w:t>
      </w:r>
      <w:r>
        <w:t>fle</w:t>
      </w:r>
      <w:r w:rsidRPr="00D52A4E">
        <w:rPr>
          <w:b/>
          <w:sz w:val="28"/>
          <w:szCs w:val="28"/>
        </w:rPr>
        <w:t>Q</w:t>
      </w:r>
      <w:r>
        <w:t>tions Limited</w:t>
      </w:r>
    </w:p>
    <w:p w:rsidR="00B14885" w:rsidRDefault="00B14885" w:rsidP="00D52A4E">
      <w:pPr>
        <w:spacing w:after="0" w:line="240" w:lineRule="auto"/>
      </w:pPr>
      <w:proofErr w:type="spellStart"/>
      <w:r>
        <w:t>gsandcw@virginmedia</w:t>
      </w:r>
      <w:proofErr w:type="spellEnd"/>
      <w:r>
        <w:t xml:space="preserve">. </w:t>
      </w:r>
      <w:proofErr w:type="gramStart"/>
      <w:r>
        <w:t>com</w:t>
      </w:r>
      <w:proofErr w:type="gramEnd"/>
    </w:p>
    <w:p w:rsidR="00D52A4E" w:rsidRDefault="00D52A4E" w:rsidP="006C21CD">
      <w:pPr>
        <w:spacing w:after="0" w:line="240" w:lineRule="auto"/>
      </w:pPr>
      <w:r>
        <w:t>07816 287 878</w:t>
      </w:r>
    </w:p>
    <w:sectPr w:rsidR="00D52A4E" w:rsidSect="00B14885">
      <w:headerReference w:type="default" r:id="rId12"/>
      <w:pgSz w:w="11906" w:h="16838"/>
      <w:pgMar w:top="241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4FD" w:rsidRDefault="00DE14FD" w:rsidP="00C3087A">
      <w:pPr>
        <w:spacing w:after="0" w:line="240" w:lineRule="auto"/>
      </w:pPr>
      <w:r>
        <w:separator/>
      </w:r>
    </w:p>
  </w:endnote>
  <w:endnote w:type="continuationSeparator" w:id="0">
    <w:p w:rsidR="00DE14FD" w:rsidRDefault="00DE14FD" w:rsidP="00C3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4FD" w:rsidRDefault="00DE14FD" w:rsidP="00C3087A">
      <w:pPr>
        <w:spacing w:after="0" w:line="240" w:lineRule="auto"/>
      </w:pPr>
      <w:r>
        <w:separator/>
      </w:r>
    </w:p>
  </w:footnote>
  <w:footnote w:type="continuationSeparator" w:id="0">
    <w:p w:rsidR="00DE14FD" w:rsidRDefault="00DE14FD" w:rsidP="00C30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A" w:rsidRDefault="00C3087A">
    <w:pPr>
      <w:pStyle w:val="Header"/>
    </w:pPr>
    <w:r>
      <w:tab/>
    </w:r>
    <w:r w:rsidRPr="00C3087A">
      <w:rPr>
        <w:noProof/>
        <w:lang w:eastAsia="en-GB"/>
      </w:rPr>
      <w:drawing>
        <wp:inline distT="0" distB="0" distL="0" distR="0">
          <wp:extent cx="6294474" cy="1116418"/>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914400"/>
                    <a:chOff x="722376" y="3685032"/>
                    <a:chExt cx="7772400" cy="914400"/>
                  </a:xfrm>
                </a:grpSpPr>
                <a:sp>
                  <a:nvSpPr>
                    <a:cNvPr id="3" name="Subtitle 2"/>
                    <a:cNvSpPr>
                      <a:spLocks noGrp="1"/>
                    </a:cNvSpPr>
                  </a:nvSpPr>
                  <a:spPr>
                    <a:xfrm>
                      <a:off x="722376" y="3685032"/>
                      <a:ext cx="7772400" cy="914400"/>
                    </a:xfrm>
                    <a:prstGeom prst="rect">
                      <a:avLst/>
                    </a:prstGeom>
                  </a:spPr>
                  <a:txSp>
                    <a:txBody>
                      <a:bodyPr vert="horz" lIns="182880" tIns="0">
                        <a:normAutofit/>
                      </a:bodyPr>
                      <a:lstStyle>
                        <a:lvl1pPr marL="36576" indent="0" algn="r" rtl="0" eaLnBrk="1" latinLnBrk="0" hangingPunct="1">
                          <a:spcBef>
                            <a:spcPts val="0"/>
                          </a:spcBef>
                          <a:buClr>
                            <a:schemeClr val="accent1"/>
                          </a:buClr>
                          <a:buSzPct val="80000"/>
                          <a:buFont typeface="Wingdings 2"/>
                          <a:buNone/>
                          <a:defRPr kumimoji="0" sz="2000" kern="1200">
                            <a:solidFill>
                              <a:schemeClr val="bg2">
                                <a:shade val="25000"/>
                              </a:schemeClr>
                            </a:solidFill>
                            <a:effectLst/>
                            <a:latin typeface="+mn-lt"/>
                            <a:ea typeface="+mn-ea"/>
                            <a:cs typeface="+mn-cs"/>
                          </a:defRPr>
                        </a:lvl1pPr>
                        <a:lvl2pPr marL="457200" indent="0" algn="ctr" rtl="0" eaLnBrk="1" latinLnBrk="0" hangingPunct="1">
                          <a:spcBef>
                            <a:spcPts val="250"/>
                          </a:spcBef>
                          <a:buClr>
                            <a:schemeClr val="accent1"/>
                          </a:buClr>
                          <a:buSzPct val="100000"/>
                          <a:buFont typeface="Verdana"/>
                          <a:buNone/>
                          <a:defRPr kumimoji="0" sz="2400" kern="1200">
                            <a:solidFill>
                              <a:schemeClr val="tx1"/>
                            </a:solidFill>
                            <a:latin typeface="+mn-lt"/>
                            <a:ea typeface="+mn-ea"/>
                            <a:cs typeface="+mn-cs"/>
                          </a:defRPr>
                        </a:lvl2pPr>
                        <a:lvl3pPr marL="914400" indent="0" algn="ctr" rtl="0" eaLnBrk="1" latinLnBrk="0" hangingPunct="1">
                          <a:spcBef>
                            <a:spcPts val="250"/>
                          </a:spcBef>
                          <a:buClr>
                            <a:schemeClr val="accent2">
                              <a:tint val="85000"/>
                              <a:satMod val="285000"/>
                            </a:schemeClr>
                          </a:buClr>
                          <a:buSzPct val="100000"/>
                          <a:buFont typeface="Wingdings 2"/>
                          <a:buNone/>
                          <a:defRPr kumimoji="0" sz="2200" kern="1200">
                            <a:solidFill>
                              <a:schemeClr val="tx1"/>
                            </a:solidFill>
                            <a:latin typeface="+mn-lt"/>
                            <a:ea typeface="+mn-ea"/>
                            <a:cs typeface="+mn-cs"/>
                          </a:defRPr>
                        </a:lvl3pPr>
                        <a:lvl4pPr marL="1371600" indent="0" algn="ctr" rtl="0" eaLnBrk="1" latinLnBrk="0" hangingPunct="1">
                          <a:spcBef>
                            <a:spcPts val="230"/>
                          </a:spcBef>
                          <a:buClr>
                            <a:schemeClr val="accent2">
                              <a:tint val="85000"/>
                              <a:satMod val="285000"/>
                            </a:schemeClr>
                          </a:buClr>
                          <a:buSzPct val="112000"/>
                          <a:buFont typeface="Verdana"/>
                          <a:buNone/>
                          <a:defRPr kumimoji="0" sz="1900" kern="1200">
                            <a:solidFill>
                              <a:schemeClr val="tx1"/>
                            </a:solidFill>
                            <a:latin typeface="+mn-lt"/>
                            <a:ea typeface="+mn-ea"/>
                            <a:cs typeface="+mn-cs"/>
                          </a:defRPr>
                        </a:lvl4pPr>
                        <a:lvl5pPr marL="1828800" indent="0" algn="ctr" rtl="0" eaLnBrk="1" latinLnBrk="0" hangingPunct="1">
                          <a:spcBef>
                            <a:spcPts val="250"/>
                          </a:spcBef>
                          <a:buClr>
                            <a:schemeClr val="accent3">
                              <a:tint val="85000"/>
                              <a:satMod val="275000"/>
                            </a:schemeClr>
                          </a:buClr>
                          <a:buSzPct val="100000"/>
                          <a:buFont typeface="Wingdings 2"/>
                          <a:buNone/>
                          <a:defRPr kumimoji="0" sz="1800" kern="1200">
                            <a:solidFill>
                              <a:schemeClr val="tx1"/>
                            </a:solidFill>
                            <a:latin typeface="+mn-lt"/>
                            <a:ea typeface="+mn-ea"/>
                            <a:cs typeface="+mn-cs"/>
                          </a:defRPr>
                        </a:lvl5pPr>
                        <a:lvl6pPr marL="2286000" indent="0" algn="ctr" rtl="0" eaLnBrk="1" latinLnBrk="0" hangingPunct="1">
                          <a:spcBef>
                            <a:spcPts val="250"/>
                          </a:spcBef>
                          <a:buClr>
                            <a:schemeClr val="accent3">
                              <a:tint val="85000"/>
                              <a:satMod val="275000"/>
                            </a:schemeClr>
                          </a:buClr>
                          <a:buSzPct val="100000"/>
                          <a:buFont typeface="Verdana"/>
                          <a:buNone/>
                          <a:defRPr kumimoji="0" sz="1700" kern="1200" baseline="0">
                            <a:solidFill>
                              <a:schemeClr val="tx1"/>
                            </a:solidFill>
                            <a:latin typeface="+mn-lt"/>
                            <a:ea typeface="+mn-ea"/>
                            <a:cs typeface="+mn-cs"/>
                          </a:defRPr>
                        </a:lvl6pPr>
                        <a:lvl7pPr marL="2743200" indent="0" algn="ctr" rtl="0" eaLnBrk="1" latinLnBrk="0" hangingPunct="1">
                          <a:spcBef>
                            <a:spcPts val="255"/>
                          </a:spcBef>
                          <a:buClr>
                            <a:schemeClr val="accent3">
                              <a:tint val="85000"/>
                              <a:satMod val="275000"/>
                            </a:schemeClr>
                          </a:buClr>
                          <a:buSzPct val="100000"/>
                          <a:buFont typeface="Wingdings 2"/>
                          <a:buNone/>
                          <a:defRPr kumimoji="0" sz="1500" kern="1200">
                            <a:solidFill>
                              <a:schemeClr val="tx1"/>
                            </a:solidFill>
                            <a:latin typeface="+mn-lt"/>
                            <a:ea typeface="+mn-ea"/>
                            <a:cs typeface="+mn-cs"/>
                          </a:defRPr>
                        </a:lvl7pPr>
                        <a:lvl8pPr marL="3200400" indent="0" algn="ctr" rtl="0" eaLnBrk="1" latinLnBrk="0" hangingPunct="1">
                          <a:spcBef>
                            <a:spcPts val="257"/>
                          </a:spcBef>
                          <a:buClr>
                            <a:schemeClr val="accent3">
                              <a:tint val="85000"/>
                              <a:satMod val="275000"/>
                            </a:schemeClr>
                          </a:buClr>
                          <a:buSzPct val="100000"/>
                          <a:buFont typeface="Verdana"/>
                          <a:buNone/>
                          <a:defRPr kumimoji="0" sz="1500" kern="1200" baseline="0">
                            <a:solidFill>
                              <a:schemeClr val="tx1"/>
                            </a:solidFill>
                            <a:latin typeface="+mn-lt"/>
                            <a:ea typeface="+mn-ea"/>
                            <a:cs typeface="+mn-cs"/>
                          </a:defRPr>
                        </a:lvl8pPr>
                        <a:lvl9pPr marL="3657600" indent="0" algn="ctr" rtl="0" eaLnBrk="1" latinLnBrk="0" hangingPunct="1">
                          <a:spcBef>
                            <a:spcPts val="255"/>
                          </a:spcBef>
                          <a:buClr>
                            <a:schemeClr val="accent3">
                              <a:tint val="85000"/>
                              <a:satMod val="275000"/>
                            </a:schemeClr>
                          </a:buClr>
                          <a:buSzPct val="100000"/>
                          <a:buFont typeface="Wingdings 2"/>
                          <a:buNone/>
                          <a:defRPr kumimoji="0" sz="1500" kern="1200">
                            <a:solidFill>
                              <a:schemeClr val="tx1"/>
                            </a:solidFill>
                            <a:latin typeface="+mn-lt"/>
                            <a:ea typeface="+mn-ea"/>
                            <a:cs typeface="+mn-cs"/>
                          </a:defRPr>
                        </a:lvl9pPr>
                        <a:extLst/>
                      </a:lstStyle>
                      <a:p>
                        <a:r>
                          <a:rPr lang="en-GB" b="1" dirty="0" err="1" smtClean="0">
                            <a:solidFill>
                              <a:schemeClr val="accent2">
                                <a:lumMod val="75000"/>
                              </a:schemeClr>
                            </a:solidFill>
                            <a:effectLst>
                              <a:reflection blurRad="6350" stA="55000" endA="50" endPos="85000" dir="5400000" sy="-100000" algn="bl" rotWithShape="0"/>
                            </a:effectLst>
                          </a:rPr>
                          <a:t>Red</a:t>
                        </a:r>
                        <a:r>
                          <a:rPr lang="en-GB" b="1" dirty="0" err="1" smtClean="0">
                            <a:solidFill>
                              <a:schemeClr val="tx1"/>
                            </a:solidFill>
                            <a:effectLst>
                              <a:reflection blurRad="6350" stA="55000" endA="50" endPos="85000" dir="5400000" sy="-100000" algn="bl" rotWithShape="0"/>
                            </a:effectLst>
                          </a:rPr>
                          <a:t>fle</a:t>
                        </a:r>
                        <a:r>
                          <a:rPr lang="en-GB" sz="2800" b="1" dirty="0" err="1" smtClean="0">
                            <a:solidFill>
                              <a:schemeClr val="tx1"/>
                            </a:solidFill>
                            <a:effectLst>
                              <a:reflection blurRad="6350" stA="55000" endA="50" endPos="85000" dir="5400000" sy="-100000" algn="bl" rotWithShape="0"/>
                            </a:effectLst>
                          </a:rPr>
                          <a:t>Q</a:t>
                        </a:r>
                        <a:r>
                          <a:rPr lang="en-GB" b="1" dirty="0" err="1" smtClean="0">
                            <a:solidFill>
                              <a:schemeClr val="tx1"/>
                            </a:solidFill>
                            <a:effectLst>
                              <a:reflection blurRad="6350" stA="55000" endA="50" endPos="85000" dir="5400000" sy="-100000" algn="bl" rotWithShape="0"/>
                            </a:effectLst>
                          </a:rPr>
                          <a:t>tions</a:t>
                        </a:r>
                        <a:r>
                          <a:rPr lang="en-GB" b="1" dirty="0" smtClean="0">
                            <a:solidFill>
                              <a:schemeClr val="accent2">
                                <a:lumMod val="75000"/>
                              </a:schemeClr>
                            </a:solidFill>
                            <a:effectLst>
                              <a:reflection blurRad="6350" stA="55000" endA="50" endPos="85000" dir="5400000" sy="-100000" algn="bl" rotWithShape="0"/>
                            </a:effectLst>
                          </a:rPr>
                          <a:t> </a:t>
                        </a:r>
                        <a:r>
                          <a:rPr lang="en-GB" b="1" dirty="0" smtClean="0">
                            <a:solidFill>
                              <a:schemeClr val="tx1"/>
                            </a:solidFill>
                            <a:effectLst>
                              <a:reflection blurRad="6350" stA="55000" endA="50" endPos="85000" dir="5400000" sy="-100000" algn="bl" rotWithShape="0"/>
                            </a:effectLst>
                          </a:rPr>
                          <a:t>Limited</a:t>
                        </a:r>
                        <a:endParaRPr lang="en-GB" b="1" dirty="0" smtClean="0">
                          <a:solidFill>
                            <a:schemeClr val="tx1"/>
                          </a:solidFill>
                          <a:effectLst>
                            <a:reflection blurRad="6350" stA="55000" endA="50" endPos="85000" dir="5400000" sy="-100000" algn="bl" rotWithShape="0"/>
                          </a:effectLst>
                        </a:endParaRPr>
                      </a:p>
                    </a:txBody>
                    <a:useSpRect/>
                  </a:txSp>
                </a: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F06D6"/>
    <w:multiLevelType w:val="hybridMultilevel"/>
    <w:tmpl w:val="DFD2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3087A"/>
    <w:rsid w:val="001C485D"/>
    <w:rsid w:val="001E288B"/>
    <w:rsid w:val="0029729D"/>
    <w:rsid w:val="006C21CD"/>
    <w:rsid w:val="00A00D7D"/>
    <w:rsid w:val="00B14885"/>
    <w:rsid w:val="00C234F2"/>
    <w:rsid w:val="00C3087A"/>
    <w:rsid w:val="00D52A4E"/>
    <w:rsid w:val="00DC27D7"/>
    <w:rsid w:val="00DE14FD"/>
    <w:rsid w:val="00E261DE"/>
    <w:rsid w:val="00E51C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8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87A"/>
  </w:style>
  <w:style w:type="paragraph" w:styleId="Footer">
    <w:name w:val="footer"/>
    <w:basedOn w:val="Normal"/>
    <w:link w:val="FooterChar"/>
    <w:uiPriority w:val="99"/>
    <w:semiHidden/>
    <w:unhideWhenUsed/>
    <w:rsid w:val="00C308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87A"/>
  </w:style>
  <w:style w:type="paragraph" w:styleId="BalloonText">
    <w:name w:val="Balloon Text"/>
    <w:basedOn w:val="Normal"/>
    <w:link w:val="BalloonTextChar"/>
    <w:uiPriority w:val="99"/>
    <w:semiHidden/>
    <w:unhideWhenUsed/>
    <w:rsid w:val="00C3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7A"/>
    <w:rPr>
      <w:rFonts w:ascii="Tahoma" w:hAnsi="Tahoma" w:cs="Tahoma"/>
      <w:sz w:val="16"/>
      <w:szCs w:val="16"/>
    </w:rPr>
  </w:style>
  <w:style w:type="paragraph" w:styleId="ListParagraph">
    <w:name w:val="List Paragraph"/>
    <w:basedOn w:val="Normal"/>
    <w:uiPriority w:val="34"/>
    <w:qFormat/>
    <w:rsid w:val="00D52A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B2939-7492-4D12-8567-A80F53D76D20}"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CC638874-CF6D-4133-97C4-783D9AD553C0}">
      <dgm:prSet custT="1"/>
      <dgm:spPr>
        <a:solidFill>
          <a:schemeClr val="accent2"/>
        </a:solidFill>
        <a:ln>
          <a:solidFill>
            <a:schemeClr val="accent2">
              <a:lumMod val="75000"/>
            </a:schemeClr>
          </a:solidFill>
        </a:ln>
      </dgm:spPr>
      <dgm:t>
        <a:bodyPr/>
        <a:lstStyle/>
        <a:p>
          <a:pPr rtl="0"/>
          <a:r>
            <a:rPr lang="en-GB" sz="1100" b="1" dirty="0" smtClean="0"/>
            <a:t>Values</a:t>
          </a:r>
          <a:endParaRPr lang="en-GB" sz="1100" dirty="0"/>
        </a:p>
      </dgm:t>
    </dgm:pt>
    <dgm:pt modelId="{BB0251CC-2F6A-43A0-8DC5-3C4142E16785}" type="parTrans" cxnId="{D7B73D22-42B9-4C61-AF06-24181B1F090F}">
      <dgm:prSet/>
      <dgm:spPr/>
      <dgm:t>
        <a:bodyPr/>
        <a:lstStyle/>
        <a:p>
          <a:endParaRPr lang="en-GB"/>
        </a:p>
      </dgm:t>
    </dgm:pt>
    <dgm:pt modelId="{6564643D-3499-41F3-911F-840E4B7B3DC3}" type="sibTrans" cxnId="{D7B73D22-42B9-4C61-AF06-24181B1F090F}">
      <dgm:prSet/>
      <dgm:spPr/>
      <dgm:t>
        <a:bodyPr/>
        <a:lstStyle/>
        <a:p>
          <a:endParaRPr lang="en-GB"/>
        </a:p>
      </dgm:t>
    </dgm:pt>
    <dgm:pt modelId="{1B4DB6DF-7F59-4CDB-9979-F0CAD843FB0B}">
      <dgm:prSet custT="1"/>
      <dgm:spPr>
        <a:solidFill>
          <a:schemeClr val="accent2"/>
        </a:solidFill>
        <a:ln>
          <a:solidFill>
            <a:schemeClr val="accent2">
              <a:lumMod val="75000"/>
            </a:schemeClr>
          </a:solidFill>
        </a:ln>
      </dgm:spPr>
      <dgm:t>
        <a:bodyPr/>
        <a:lstStyle/>
        <a:p>
          <a:pPr rtl="0"/>
          <a:r>
            <a:rPr lang="en-GB" sz="900" b="1" dirty="0" smtClean="0"/>
            <a:t>Structure</a:t>
          </a:r>
          <a:endParaRPr lang="en-GB" sz="900" b="1" dirty="0"/>
        </a:p>
      </dgm:t>
    </dgm:pt>
    <dgm:pt modelId="{99BCBE8B-29EE-45DD-B9E6-C924DB809B8C}" type="parTrans" cxnId="{3C02F135-F9D4-4C7A-A89C-385DFBFF899D}">
      <dgm:prSet/>
      <dgm:spPr/>
      <dgm:t>
        <a:bodyPr/>
        <a:lstStyle/>
        <a:p>
          <a:endParaRPr lang="en-GB"/>
        </a:p>
      </dgm:t>
    </dgm:pt>
    <dgm:pt modelId="{D9F2CB6E-9FBE-4242-90A2-269A8361CCDB}" type="sibTrans" cxnId="{3C02F135-F9D4-4C7A-A89C-385DFBFF899D}">
      <dgm:prSet/>
      <dgm:spPr/>
      <dgm:t>
        <a:bodyPr/>
        <a:lstStyle/>
        <a:p>
          <a:endParaRPr lang="en-GB"/>
        </a:p>
      </dgm:t>
    </dgm:pt>
    <dgm:pt modelId="{B7DA17A7-6E3E-4F4A-B25E-2CA0DADCB799}">
      <dgm:prSet custT="1"/>
      <dgm:spPr>
        <a:solidFill>
          <a:schemeClr val="accent2"/>
        </a:solidFill>
        <a:ln>
          <a:solidFill>
            <a:schemeClr val="accent2">
              <a:lumMod val="75000"/>
            </a:schemeClr>
          </a:solidFill>
        </a:ln>
      </dgm:spPr>
      <dgm:t>
        <a:bodyPr/>
        <a:lstStyle/>
        <a:p>
          <a:pPr rtl="0"/>
          <a:r>
            <a:rPr lang="en-GB" sz="1000" b="1" dirty="0" smtClean="0"/>
            <a:t>Skills</a:t>
          </a:r>
          <a:endParaRPr lang="en-GB" sz="1000" b="1" dirty="0"/>
        </a:p>
      </dgm:t>
    </dgm:pt>
    <dgm:pt modelId="{AC5141F5-21F9-4BA2-A8FA-46F52312699C}" type="parTrans" cxnId="{9685CADF-F1EA-4758-BC42-15B548B7C0D8}">
      <dgm:prSet/>
      <dgm:spPr/>
      <dgm:t>
        <a:bodyPr/>
        <a:lstStyle/>
        <a:p>
          <a:endParaRPr lang="en-GB"/>
        </a:p>
      </dgm:t>
    </dgm:pt>
    <dgm:pt modelId="{D7154FC8-9127-46D5-B3CC-07D627CF87AF}" type="sibTrans" cxnId="{9685CADF-F1EA-4758-BC42-15B548B7C0D8}">
      <dgm:prSet/>
      <dgm:spPr/>
      <dgm:t>
        <a:bodyPr/>
        <a:lstStyle/>
        <a:p>
          <a:endParaRPr lang="en-GB"/>
        </a:p>
      </dgm:t>
    </dgm:pt>
    <dgm:pt modelId="{388975D6-7C4C-47AF-8A10-4AD7FCDDAFDE}" type="pres">
      <dgm:prSet presAssocID="{6BDB2939-7492-4D12-8567-A80F53D76D20}" presName="cycle" presStyleCnt="0">
        <dgm:presLayoutVars>
          <dgm:dir/>
          <dgm:resizeHandles val="exact"/>
        </dgm:presLayoutVars>
      </dgm:prSet>
      <dgm:spPr/>
      <dgm:t>
        <a:bodyPr/>
        <a:lstStyle/>
        <a:p>
          <a:endParaRPr lang="en-GB"/>
        </a:p>
      </dgm:t>
    </dgm:pt>
    <dgm:pt modelId="{3F1697EE-936A-4A76-B182-CF08462752AA}" type="pres">
      <dgm:prSet presAssocID="{CC638874-CF6D-4133-97C4-783D9AD553C0}" presName="node" presStyleLbl="node1" presStyleIdx="0" presStyleCnt="3">
        <dgm:presLayoutVars>
          <dgm:bulletEnabled val="1"/>
        </dgm:presLayoutVars>
      </dgm:prSet>
      <dgm:spPr/>
      <dgm:t>
        <a:bodyPr/>
        <a:lstStyle/>
        <a:p>
          <a:endParaRPr lang="en-GB"/>
        </a:p>
      </dgm:t>
    </dgm:pt>
    <dgm:pt modelId="{06C1A147-5BFB-4D0C-9891-E8F5DA4EBC6C}" type="pres">
      <dgm:prSet presAssocID="{6564643D-3499-41F3-911F-840E4B7B3DC3}" presName="sibTrans" presStyleLbl="sibTrans2D1" presStyleIdx="0" presStyleCnt="3"/>
      <dgm:spPr/>
      <dgm:t>
        <a:bodyPr/>
        <a:lstStyle/>
        <a:p>
          <a:endParaRPr lang="en-GB"/>
        </a:p>
      </dgm:t>
    </dgm:pt>
    <dgm:pt modelId="{85D6497D-F343-4F19-80AB-241A0EE7C6DC}" type="pres">
      <dgm:prSet presAssocID="{6564643D-3499-41F3-911F-840E4B7B3DC3}" presName="connectorText" presStyleLbl="sibTrans2D1" presStyleIdx="0" presStyleCnt="3"/>
      <dgm:spPr/>
      <dgm:t>
        <a:bodyPr/>
        <a:lstStyle/>
        <a:p>
          <a:endParaRPr lang="en-GB"/>
        </a:p>
      </dgm:t>
    </dgm:pt>
    <dgm:pt modelId="{27E61786-ACD7-4D42-8A94-4D5D86C8EE60}" type="pres">
      <dgm:prSet presAssocID="{1B4DB6DF-7F59-4CDB-9979-F0CAD843FB0B}" presName="node" presStyleLbl="node1" presStyleIdx="1" presStyleCnt="3">
        <dgm:presLayoutVars>
          <dgm:bulletEnabled val="1"/>
        </dgm:presLayoutVars>
      </dgm:prSet>
      <dgm:spPr/>
      <dgm:t>
        <a:bodyPr/>
        <a:lstStyle/>
        <a:p>
          <a:endParaRPr lang="en-GB"/>
        </a:p>
      </dgm:t>
    </dgm:pt>
    <dgm:pt modelId="{FBA5C8A3-0C71-4613-A722-684A89C26FF4}" type="pres">
      <dgm:prSet presAssocID="{D9F2CB6E-9FBE-4242-90A2-269A8361CCDB}" presName="sibTrans" presStyleLbl="sibTrans2D1" presStyleIdx="1" presStyleCnt="3"/>
      <dgm:spPr/>
      <dgm:t>
        <a:bodyPr/>
        <a:lstStyle/>
        <a:p>
          <a:endParaRPr lang="en-GB"/>
        </a:p>
      </dgm:t>
    </dgm:pt>
    <dgm:pt modelId="{EDE1AFA7-F939-4397-B057-984EFFE9DB96}" type="pres">
      <dgm:prSet presAssocID="{D9F2CB6E-9FBE-4242-90A2-269A8361CCDB}" presName="connectorText" presStyleLbl="sibTrans2D1" presStyleIdx="1" presStyleCnt="3"/>
      <dgm:spPr/>
      <dgm:t>
        <a:bodyPr/>
        <a:lstStyle/>
        <a:p>
          <a:endParaRPr lang="en-GB"/>
        </a:p>
      </dgm:t>
    </dgm:pt>
    <dgm:pt modelId="{464D762D-E4DC-4914-8851-CEA2332BE97E}" type="pres">
      <dgm:prSet presAssocID="{B7DA17A7-6E3E-4F4A-B25E-2CA0DADCB799}" presName="node" presStyleLbl="node1" presStyleIdx="2" presStyleCnt="3">
        <dgm:presLayoutVars>
          <dgm:bulletEnabled val="1"/>
        </dgm:presLayoutVars>
      </dgm:prSet>
      <dgm:spPr/>
      <dgm:t>
        <a:bodyPr/>
        <a:lstStyle/>
        <a:p>
          <a:endParaRPr lang="en-GB"/>
        </a:p>
      </dgm:t>
    </dgm:pt>
    <dgm:pt modelId="{EF40CD70-BE4F-41EE-BB3C-104F4637921A}" type="pres">
      <dgm:prSet presAssocID="{D7154FC8-9127-46D5-B3CC-07D627CF87AF}" presName="sibTrans" presStyleLbl="sibTrans2D1" presStyleIdx="2" presStyleCnt="3"/>
      <dgm:spPr/>
      <dgm:t>
        <a:bodyPr/>
        <a:lstStyle/>
        <a:p>
          <a:endParaRPr lang="en-GB"/>
        </a:p>
      </dgm:t>
    </dgm:pt>
    <dgm:pt modelId="{91BF4974-1CFB-4D69-8ABD-7239B0746A72}" type="pres">
      <dgm:prSet presAssocID="{D7154FC8-9127-46D5-B3CC-07D627CF87AF}" presName="connectorText" presStyleLbl="sibTrans2D1" presStyleIdx="2" presStyleCnt="3"/>
      <dgm:spPr/>
      <dgm:t>
        <a:bodyPr/>
        <a:lstStyle/>
        <a:p>
          <a:endParaRPr lang="en-GB"/>
        </a:p>
      </dgm:t>
    </dgm:pt>
  </dgm:ptLst>
  <dgm:cxnLst>
    <dgm:cxn modelId="{9685CADF-F1EA-4758-BC42-15B548B7C0D8}" srcId="{6BDB2939-7492-4D12-8567-A80F53D76D20}" destId="{B7DA17A7-6E3E-4F4A-B25E-2CA0DADCB799}" srcOrd="2" destOrd="0" parTransId="{AC5141F5-21F9-4BA2-A8FA-46F52312699C}" sibTransId="{D7154FC8-9127-46D5-B3CC-07D627CF87AF}"/>
    <dgm:cxn modelId="{2FBAA6AE-CD96-4B53-A5A2-72809DE50E93}" type="presOf" srcId="{B7DA17A7-6E3E-4F4A-B25E-2CA0DADCB799}" destId="{464D762D-E4DC-4914-8851-CEA2332BE97E}" srcOrd="0" destOrd="0" presId="urn:microsoft.com/office/officeart/2005/8/layout/cycle2"/>
    <dgm:cxn modelId="{DC282737-6A92-4454-B77F-3CA3E394B874}" type="presOf" srcId="{CC638874-CF6D-4133-97C4-783D9AD553C0}" destId="{3F1697EE-936A-4A76-B182-CF08462752AA}" srcOrd="0" destOrd="0" presId="urn:microsoft.com/office/officeart/2005/8/layout/cycle2"/>
    <dgm:cxn modelId="{D7B73D22-42B9-4C61-AF06-24181B1F090F}" srcId="{6BDB2939-7492-4D12-8567-A80F53D76D20}" destId="{CC638874-CF6D-4133-97C4-783D9AD553C0}" srcOrd="0" destOrd="0" parTransId="{BB0251CC-2F6A-43A0-8DC5-3C4142E16785}" sibTransId="{6564643D-3499-41F3-911F-840E4B7B3DC3}"/>
    <dgm:cxn modelId="{976A3CCF-0E3F-4E9C-BCCE-F0A1271E519E}" type="presOf" srcId="{1B4DB6DF-7F59-4CDB-9979-F0CAD843FB0B}" destId="{27E61786-ACD7-4D42-8A94-4D5D86C8EE60}" srcOrd="0" destOrd="0" presId="urn:microsoft.com/office/officeart/2005/8/layout/cycle2"/>
    <dgm:cxn modelId="{48FD5BD4-FDD2-4C5C-A829-591AFD21C72D}" type="presOf" srcId="{6564643D-3499-41F3-911F-840E4B7B3DC3}" destId="{85D6497D-F343-4F19-80AB-241A0EE7C6DC}" srcOrd="1" destOrd="0" presId="urn:microsoft.com/office/officeart/2005/8/layout/cycle2"/>
    <dgm:cxn modelId="{0FE48B82-DDA1-416A-BB4F-5CB0FA93B51A}" type="presOf" srcId="{D7154FC8-9127-46D5-B3CC-07D627CF87AF}" destId="{EF40CD70-BE4F-41EE-BB3C-104F4637921A}" srcOrd="0" destOrd="0" presId="urn:microsoft.com/office/officeart/2005/8/layout/cycle2"/>
    <dgm:cxn modelId="{71E11043-7420-45D6-B9A0-B48DCAF4F778}" type="presOf" srcId="{D9F2CB6E-9FBE-4242-90A2-269A8361CCDB}" destId="{EDE1AFA7-F939-4397-B057-984EFFE9DB96}" srcOrd="1" destOrd="0" presId="urn:microsoft.com/office/officeart/2005/8/layout/cycle2"/>
    <dgm:cxn modelId="{60251EF7-B7E3-4F8F-9A57-2C20E6592417}" type="presOf" srcId="{6BDB2939-7492-4D12-8567-A80F53D76D20}" destId="{388975D6-7C4C-47AF-8A10-4AD7FCDDAFDE}" srcOrd="0" destOrd="0" presId="urn:microsoft.com/office/officeart/2005/8/layout/cycle2"/>
    <dgm:cxn modelId="{A419FFA8-A8F4-4CE3-893D-F79CC21FA90F}" type="presOf" srcId="{D7154FC8-9127-46D5-B3CC-07D627CF87AF}" destId="{91BF4974-1CFB-4D69-8ABD-7239B0746A72}" srcOrd="1" destOrd="0" presId="urn:microsoft.com/office/officeart/2005/8/layout/cycle2"/>
    <dgm:cxn modelId="{3C02F135-F9D4-4C7A-A89C-385DFBFF899D}" srcId="{6BDB2939-7492-4D12-8567-A80F53D76D20}" destId="{1B4DB6DF-7F59-4CDB-9979-F0CAD843FB0B}" srcOrd="1" destOrd="0" parTransId="{99BCBE8B-29EE-45DD-B9E6-C924DB809B8C}" sibTransId="{D9F2CB6E-9FBE-4242-90A2-269A8361CCDB}"/>
    <dgm:cxn modelId="{AE8CACAC-E3B4-4BB6-92DA-265880AF4284}" type="presOf" srcId="{D9F2CB6E-9FBE-4242-90A2-269A8361CCDB}" destId="{FBA5C8A3-0C71-4613-A722-684A89C26FF4}" srcOrd="0" destOrd="0" presId="urn:microsoft.com/office/officeart/2005/8/layout/cycle2"/>
    <dgm:cxn modelId="{104DBCAD-C954-4BB2-8D56-9B0F34FAA251}" type="presOf" srcId="{6564643D-3499-41F3-911F-840E4B7B3DC3}" destId="{06C1A147-5BFB-4D0C-9891-E8F5DA4EBC6C}" srcOrd="0" destOrd="0" presId="urn:microsoft.com/office/officeart/2005/8/layout/cycle2"/>
    <dgm:cxn modelId="{C4739F23-ECCA-4B67-AFEF-5936DFE555D5}" type="presParOf" srcId="{388975D6-7C4C-47AF-8A10-4AD7FCDDAFDE}" destId="{3F1697EE-936A-4A76-B182-CF08462752AA}" srcOrd="0" destOrd="0" presId="urn:microsoft.com/office/officeart/2005/8/layout/cycle2"/>
    <dgm:cxn modelId="{F5FCCE85-592D-46AA-ACB7-EA54AE058DB9}" type="presParOf" srcId="{388975D6-7C4C-47AF-8A10-4AD7FCDDAFDE}" destId="{06C1A147-5BFB-4D0C-9891-E8F5DA4EBC6C}" srcOrd="1" destOrd="0" presId="urn:microsoft.com/office/officeart/2005/8/layout/cycle2"/>
    <dgm:cxn modelId="{CC56F287-620F-4069-A40A-C1796D89F759}" type="presParOf" srcId="{06C1A147-5BFB-4D0C-9891-E8F5DA4EBC6C}" destId="{85D6497D-F343-4F19-80AB-241A0EE7C6DC}" srcOrd="0" destOrd="0" presId="urn:microsoft.com/office/officeart/2005/8/layout/cycle2"/>
    <dgm:cxn modelId="{CED3C20C-64CB-4D12-95C2-783A27CB4B5D}" type="presParOf" srcId="{388975D6-7C4C-47AF-8A10-4AD7FCDDAFDE}" destId="{27E61786-ACD7-4D42-8A94-4D5D86C8EE60}" srcOrd="2" destOrd="0" presId="urn:microsoft.com/office/officeart/2005/8/layout/cycle2"/>
    <dgm:cxn modelId="{A423C4E8-D729-44FB-AC0C-B710EDEED30E}" type="presParOf" srcId="{388975D6-7C4C-47AF-8A10-4AD7FCDDAFDE}" destId="{FBA5C8A3-0C71-4613-A722-684A89C26FF4}" srcOrd="3" destOrd="0" presId="urn:microsoft.com/office/officeart/2005/8/layout/cycle2"/>
    <dgm:cxn modelId="{1844C873-3EF3-4648-83D9-269AE4254B8F}" type="presParOf" srcId="{FBA5C8A3-0C71-4613-A722-684A89C26FF4}" destId="{EDE1AFA7-F939-4397-B057-984EFFE9DB96}" srcOrd="0" destOrd="0" presId="urn:microsoft.com/office/officeart/2005/8/layout/cycle2"/>
    <dgm:cxn modelId="{D2A6BFDD-E32C-4401-9477-E496C31A01A4}" type="presParOf" srcId="{388975D6-7C4C-47AF-8A10-4AD7FCDDAFDE}" destId="{464D762D-E4DC-4914-8851-CEA2332BE97E}" srcOrd="4" destOrd="0" presId="urn:microsoft.com/office/officeart/2005/8/layout/cycle2"/>
    <dgm:cxn modelId="{19B58F5A-8B2E-4FAD-A118-178811A114FD}" type="presParOf" srcId="{388975D6-7C4C-47AF-8A10-4AD7FCDDAFDE}" destId="{EF40CD70-BE4F-41EE-BB3C-104F4637921A}" srcOrd="5" destOrd="0" presId="urn:microsoft.com/office/officeart/2005/8/layout/cycle2"/>
    <dgm:cxn modelId="{F2835A35-0FE4-45FC-B120-8A618C387E97}" type="presParOf" srcId="{EF40CD70-BE4F-41EE-BB3C-104F4637921A}" destId="{91BF4974-1CFB-4D69-8ABD-7239B0746A72}" srcOrd="0" destOrd="0" presId="urn:microsoft.com/office/officeart/2005/8/layout/cycle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1697EE-936A-4A76-B182-CF08462752AA}">
      <dsp:nvSpPr>
        <dsp:cNvPr id="0" name=""/>
        <dsp:cNvSpPr/>
      </dsp:nvSpPr>
      <dsp:spPr>
        <a:xfrm>
          <a:off x="2543084" y="271"/>
          <a:ext cx="729840" cy="729840"/>
        </a:xfrm>
        <a:prstGeom prst="ellipse">
          <a:avLst/>
        </a:prstGeom>
        <a:solidFill>
          <a:schemeClr val="accent2"/>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0">
            <a:lnSpc>
              <a:spcPct val="90000"/>
            </a:lnSpc>
            <a:spcBef>
              <a:spcPct val="0"/>
            </a:spcBef>
            <a:spcAft>
              <a:spcPct val="35000"/>
            </a:spcAft>
          </a:pPr>
          <a:r>
            <a:rPr lang="en-GB" sz="1100" b="1" kern="1200" dirty="0" smtClean="0"/>
            <a:t>Values</a:t>
          </a:r>
          <a:endParaRPr lang="en-GB" sz="1100" kern="1200" dirty="0"/>
        </a:p>
      </dsp:txBody>
      <dsp:txXfrm>
        <a:off x="2543084" y="271"/>
        <a:ext cx="729840" cy="729840"/>
      </dsp:txXfrm>
    </dsp:sp>
    <dsp:sp modelId="{06C1A147-5BFB-4D0C-9891-E8F5DA4EBC6C}">
      <dsp:nvSpPr>
        <dsp:cNvPr id="0" name=""/>
        <dsp:cNvSpPr/>
      </dsp:nvSpPr>
      <dsp:spPr>
        <a:xfrm rot="3600000">
          <a:off x="3082215" y="712048"/>
          <a:ext cx="194307" cy="246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3600000">
        <a:off x="3082215" y="712048"/>
        <a:ext cx="194307" cy="246321"/>
      </dsp:txXfrm>
    </dsp:sp>
    <dsp:sp modelId="{27E61786-ACD7-4D42-8A94-4D5D86C8EE60}">
      <dsp:nvSpPr>
        <dsp:cNvPr id="0" name=""/>
        <dsp:cNvSpPr/>
      </dsp:nvSpPr>
      <dsp:spPr>
        <a:xfrm>
          <a:off x="3091313" y="949832"/>
          <a:ext cx="729840" cy="729840"/>
        </a:xfrm>
        <a:prstGeom prst="ellipse">
          <a:avLst/>
        </a:prstGeom>
        <a:solidFill>
          <a:schemeClr val="accent2"/>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0">
            <a:lnSpc>
              <a:spcPct val="90000"/>
            </a:lnSpc>
            <a:spcBef>
              <a:spcPct val="0"/>
            </a:spcBef>
            <a:spcAft>
              <a:spcPct val="35000"/>
            </a:spcAft>
          </a:pPr>
          <a:r>
            <a:rPr lang="en-GB" sz="900" b="1" kern="1200" dirty="0" smtClean="0"/>
            <a:t>Structure</a:t>
          </a:r>
          <a:endParaRPr lang="en-GB" sz="900" b="1" kern="1200" dirty="0"/>
        </a:p>
      </dsp:txBody>
      <dsp:txXfrm>
        <a:off x="3091313" y="949832"/>
        <a:ext cx="729840" cy="729840"/>
      </dsp:txXfrm>
    </dsp:sp>
    <dsp:sp modelId="{FBA5C8A3-0C71-4613-A722-684A89C26FF4}">
      <dsp:nvSpPr>
        <dsp:cNvPr id="0" name=""/>
        <dsp:cNvSpPr/>
      </dsp:nvSpPr>
      <dsp:spPr>
        <a:xfrm rot="10800000">
          <a:off x="2816350" y="1191591"/>
          <a:ext cx="194307" cy="246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0800000">
        <a:off x="2816350" y="1191591"/>
        <a:ext cx="194307" cy="246321"/>
      </dsp:txXfrm>
    </dsp:sp>
    <dsp:sp modelId="{464D762D-E4DC-4914-8851-CEA2332BE97E}">
      <dsp:nvSpPr>
        <dsp:cNvPr id="0" name=""/>
        <dsp:cNvSpPr/>
      </dsp:nvSpPr>
      <dsp:spPr>
        <a:xfrm>
          <a:off x="1994854" y="949832"/>
          <a:ext cx="729840" cy="729840"/>
        </a:xfrm>
        <a:prstGeom prst="ellipse">
          <a:avLst/>
        </a:prstGeom>
        <a:solidFill>
          <a:schemeClr val="accent2"/>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rtl="0">
            <a:lnSpc>
              <a:spcPct val="90000"/>
            </a:lnSpc>
            <a:spcBef>
              <a:spcPct val="0"/>
            </a:spcBef>
            <a:spcAft>
              <a:spcPct val="35000"/>
            </a:spcAft>
          </a:pPr>
          <a:r>
            <a:rPr lang="en-GB" sz="1000" b="1" kern="1200" dirty="0" smtClean="0"/>
            <a:t>Skills</a:t>
          </a:r>
          <a:endParaRPr lang="en-GB" sz="1000" b="1" kern="1200" dirty="0"/>
        </a:p>
      </dsp:txBody>
      <dsp:txXfrm>
        <a:off x="1994854" y="949832"/>
        <a:ext cx="729840" cy="729840"/>
      </dsp:txXfrm>
    </dsp:sp>
    <dsp:sp modelId="{EF40CD70-BE4F-41EE-BB3C-104F4637921A}">
      <dsp:nvSpPr>
        <dsp:cNvPr id="0" name=""/>
        <dsp:cNvSpPr/>
      </dsp:nvSpPr>
      <dsp:spPr>
        <a:xfrm rot="18000000">
          <a:off x="2533986" y="721573"/>
          <a:ext cx="194307" cy="2463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18000000">
        <a:off x="2533986" y="721573"/>
        <a:ext cx="194307" cy="24632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Watkinson</dc:creator>
  <cp:lastModifiedBy>Graham Watkinson</cp:lastModifiedBy>
  <cp:revision>4</cp:revision>
  <cp:lastPrinted>2011-12-05T22:42:00Z</cp:lastPrinted>
  <dcterms:created xsi:type="dcterms:W3CDTF">2011-12-05T20:45:00Z</dcterms:created>
  <dcterms:modified xsi:type="dcterms:W3CDTF">2011-12-06T00:41:00Z</dcterms:modified>
</cp:coreProperties>
</file>